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both"/>
        <w:rPr>
          <w:sz w:val="32"/>
          <w:szCs w:val="32"/>
        </w:rPr>
      </w:pPr>
      <w:bookmarkStart w:colFirst="0" w:colLast="0" w:name="_ewgkallvkqf0" w:id="0"/>
      <w:bookmarkEnd w:id="0"/>
      <w:r w:rsidDel="00000000" w:rsidR="00000000" w:rsidRPr="00000000">
        <w:rPr>
          <w:sz w:val="32"/>
          <w:szCs w:val="32"/>
          <w:rtl w:val="0"/>
        </w:rPr>
        <w:t xml:space="preserve">PROYECTO DE LEY</w:t>
      </w:r>
    </w:p>
    <w:p w:rsidR="00000000" w:rsidDel="00000000" w:rsidP="00000000" w:rsidRDefault="00000000" w:rsidRPr="00000000" w14:paraId="00000002">
      <w:pPr>
        <w:pStyle w:val="Heading2"/>
        <w:jc w:val="both"/>
        <w:rPr>
          <w:sz w:val="32"/>
          <w:szCs w:val="32"/>
        </w:rPr>
      </w:pPr>
      <w:bookmarkStart w:colFirst="0" w:colLast="0" w:name="_smlrfoqwmfyp" w:id="1"/>
      <w:bookmarkEnd w:id="1"/>
      <w:r w:rsidDel="00000000" w:rsidR="00000000" w:rsidRPr="00000000">
        <w:rPr>
          <w:sz w:val="32"/>
          <w:szCs w:val="32"/>
          <w:rtl w:val="0"/>
        </w:rPr>
        <w:t xml:space="preserve">SUSPENSIÓN TEMPORAL DE CORTES DE SERVICIOS PÚBLICOS BÁSICOS DOMICILIARIOS A USUARIOS EN SITUACIÓN DE VULNERABILIDAD SOCIAL Y JUBILADOS EN LA PROVINCIA DE MENDOZA</w:t>
      </w:r>
    </w:p>
    <w:p w:rsidR="00000000" w:rsidDel="00000000" w:rsidP="00000000" w:rsidRDefault="00000000" w:rsidRPr="00000000" w14:paraId="00000003">
      <w:pPr>
        <w:pStyle w:val="Heading1"/>
        <w:jc w:val="both"/>
        <w:rPr>
          <w:sz w:val="32"/>
          <w:szCs w:val="32"/>
        </w:rPr>
      </w:pPr>
      <w:bookmarkStart w:colFirst="0" w:colLast="0" w:name="_lhp86lo0ano4" w:id="2"/>
      <w:bookmarkEnd w:id="2"/>
      <w:r w:rsidDel="00000000" w:rsidR="00000000" w:rsidRPr="00000000">
        <w:rPr>
          <w:sz w:val="32"/>
          <w:szCs w:val="32"/>
          <w:rtl w:val="0"/>
        </w:rPr>
        <w:t xml:space="preserve">FUNDAMENTOS</w:t>
      </w:r>
    </w:p>
    <w:p w:rsidR="00000000" w:rsidDel="00000000" w:rsidP="00000000" w:rsidRDefault="00000000" w:rsidRPr="00000000" w14:paraId="00000004">
      <w:pPr>
        <w:jc w:val="both"/>
        <w:rPr/>
      </w:pPr>
      <w:r w:rsidDel="00000000" w:rsidR="00000000" w:rsidRPr="00000000">
        <w:rPr>
          <w:rtl w:val="0"/>
        </w:rPr>
        <w:t xml:space="preserve">H. CÁMARA:</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06">
      <w:pPr>
        <w:jc w:val="both"/>
        <w:rPr/>
      </w:pPr>
      <w:r w:rsidDel="00000000" w:rsidR="00000000" w:rsidRPr="00000000">
        <w:rPr>
          <w:rtl w:val="0"/>
        </w:rPr>
        <w:t xml:space="preserve">Sometemos a consideración del Honorable Cuerpo el presente proyecto de ley, que tiene por objeto consagrar un marco protectorio indispensable y de estricta justicia distributiva frente al actual contexto socioeconómico: la suspensión temporal de cortes o interrupciones en el suministro de servicios públicos domiciliarios esenciales (energía eléctrica, gas por redes y agua potable y saneamiento) por falta de pago, protegiendo a jubilados, pensionados, personas con discapacidad y familias mendocinas en situación de acreditada vulnerabilidad económica y social.</w:t>
      </w:r>
    </w:p>
    <w:p w:rsidR="00000000" w:rsidDel="00000000" w:rsidP="00000000" w:rsidRDefault="00000000" w:rsidRPr="00000000" w14:paraId="00000007">
      <w:pPr>
        <w:pStyle w:val="Heading2"/>
        <w:jc w:val="both"/>
        <w:rPr/>
      </w:pPr>
      <w:bookmarkStart w:colFirst="0" w:colLast="0" w:name="_pgo99kx70gn4" w:id="3"/>
      <w:bookmarkEnd w:id="3"/>
      <w:r w:rsidDel="00000000" w:rsidR="00000000" w:rsidRPr="00000000">
        <w:rPr>
          <w:rtl w:val="0"/>
        </w:rPr>
        <w:t xml:space="preserve">1. El contexto socioeconómico y el rol tuitivo del Estado</w:t>
      </w:r>
    </w:p>
    <w:p w:rsidR="00000000" w:rsidDel="00000000" w:rsidP="00000000" w:rsidRDefault="00000000" w:rsidRPr="00000000" w14:paraId="00000008">
      <w:pPr>
        <w:jc w:val="both"/>
        <w:rPr/>
      </w:pPr>
      <w:r w:rsidDel="00000000" w:rsidR="00000000" w:rsidRPr="00000000">
        <w:rPr>
          <w:rtl w:val="0"/>
        </w:rPr>
        <w:t xml:space="preserve">El acceso a la energía eléctrica, al agua potable y al gas natural no constituye una mera relación mercantil regida de modo exclusivo por las leyes del mercado ni por la libre autonomía de la voluntad contractual. En las sociedades contemporáneas, los servicios públicos esenciales configuran condiciones materiales elementales para la dignidad humana, la preservación de la salud, la alimentación, la educación y la subsistencia misma de los hogares.</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0A">
      <w:pPr>
        <w:jc w:val="both"/>
        <w:rPr/>
      </w:pPr>
      <w:r w:rsidDel="00000000" w:rsidR="00000000" w:rsidRPr="00000000">
        <w:rPr>
          <w:rtl w:val="0"/>
        </w:rPr>
        <w:t xml:space="preserve">La desregulación tarifaria y la quita masiva de subsidios aplicadas por el Gobierno nacional han desencadenado un incremento en el costo de vida y en las facturas de servicios públicos esenciales. Dicha política tarifaria, impacta fuertemente en los estratos de menores ingresos, sobre todo en los adultos mayores y jubilados, cuyos haberes previsionales no resultan suficientes , en muchos casos, para hacer frente al notorio aumento de los servicios público.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0C">
      <w:pPr>
        <w:pStyle w:val="Heading2"/>
        <w:jc w:val="both"/>
        <w:rPr/>
      </w:pPr>
      <w:bookmarkStart w:colFirst="0" w:colLast="0" w:name="_prbt8p9hdiys" w:id="4"/>
      <w:bookmarkEnd w:id="4"/>
      <w:r w:rsidDel="00000000" w:rsidR="00000000" w:rsidRPr="00000000">
        <w:rPr>
          <w:rtl w:val="0"/>
        </w:rPr>
        <w:t xml:space="preserve">2. Marco Constitucional y Convencional</w:t>
      </w:r>
    </w:p>
    <w:p w:rsidR="00000000" w:rsidDel="00000000" w:rsidP="00000000" w:rsidRDefault="00000000" w:rsidRPr="00000000" w14:paraId="0000000D">
      <w:pPr>
        <w:jc w:val="both"/>
        <w:rPr/>
      </w:pPr>
      <w:r w:rsidDel="00000000" w:rsidR="00000000" w:rsidRPr="00000000">
        <w:rPr>
          <w:rtl w:val="0"/>
        </w:rPr>
        <w:t xml:space="preserve">El presente proyecto halla su primer anclaje normativo en la Constitución de la Nación Argentina en el </w:t>
      </w:r>
      <w:r w:rsidDel="00000000" w:rsidR="00000000" w:rsidRPr="00000000">
        <w:rPr>
          <w:b w:val="1"/>
          <w:bCs w:val="1"/>
          <w:rtl w:val="0"/>
        </w:rPr>
        <w:t xml:space="preserve">Artículo 42 de la Constitución Nacional </w:t>
      </w:r>
      <w:r w:rsidDel="00000000" w:rsidR="00000000" w:rsidRPr="00000000">
        <w:rPr>
          <w:rtl w:val="0"/>
        </w:rPr>
        <w:t xml:space="preserve">que consagra que los consumidores y usuarios de bienes y servicios tienen derecho, en la relación de consumo, a la protección de su salud, seguridad e intereses económicos; a una información adecuada y veraz; y a condiciones de trato equitativo y digno. La privación de un servicio vital a quien carece de capacidad contributiva quebranta la garantía de trato digno y la tutela de sus intereses económicos frente a situaciones de monopolio o posición dominante.</w:t>
      </w:r>
    </w:p>
    <w:p w:rsidR="00000000" w:rsidDel="00000000" w:rsidP="00000000" w:rsidRDefault="00000000" w:rsidRPr="00000000" w14:paraId="0000000E">
      <w:pPr>
        <w:jc w:val="both"/>
        <w:rPr/>
      </w:pPr>
      <w:r w:rsidDel="00000000" w:rsidR="00000000" w:rsidRPr="00000000">
        <w:rPr>
          <w:rtl w:val="0"/>
        </w:rPr>
      </w:r>
    </w:p>
    <w:p w:rsidR="00000000" w:rsidDel="00000000" w:rsidP="00000000" w:rsidRDefault="00000000" w:rsidRPr="00000000" w14:paraId="0000000F">
      <w:pPr>
        <w:ind w:left="0" w:firstLine="0"/>
        <w:jc w:val="both"/>
        <w:rPr/>
      </w:pPr>
      <w:r w:rsidDel="00000000" w:rsidR="00000000" w:rsidRPr="00000000">
        <w:rPr>
          <w:rtl w:val="0"/>
        </w:rPr>
        <w:t xml:space="preserve">Asimismo</w:t>
      </w:r>
      <w:r w:rsidDel="00000000" w:rsidR="00000000" w:rsidRPr="00000000">
        <w:rPr>
          <w:b w:val="1"/>
          <w:bCs w:val="1"/>
          <w:rtl w:val="0"/>
        </w:rPr>
        <w:t xml:space="preserve"> la Convención Interamericana sobre la Protección de los Derechos Humanos de las Personas Mayores (aprobada por Ley Nacional N.º 27.360 y jerarquizada constitucionalmente por Ley N.º 27.700) </w:t>
      </w:r>
      <w:r w:rsidDel="00000000" w:rsidR="00000000" w:rsidRPr="00000000">
        <w:rPr>
          <w:rtl w:val="0"/>
        </w:rPr>
        <w:t xml:space="preserve">o</w:t>
      </w:r>
      <w:r w:rsidDel="00000000" w:rsidR="00000000" w:rsidRPr="00000000">
        <w:rPr>
          <w:rtl w:val="0"/>
        </w:rPr>
        <w:t xml:space="preserve">bliga a los Estados Parte a adoptar medidas afirmativas y diseñar políticas públicas prioritarias dirigidas a garantizar un envejecimiento digno, la seguridad económica y el acceso efectivo a servicios esenciales sin discriminación fundada en la edad o vulnerabilidad patrimonial.</w:t>
      </w:r>
    </w:p>
    <w:p w:rsidR="00000000" w:rsidDel="00000000" w:rsidP="00000000" w:rsidRDefault="00000000" w:rsidRPr="00000000" w14:paraId="00000010">
      <w:pPr>
        <w:jc w:val="both"/>
        <w:rPr/>
      </w:pPr>
      <w:r w:rsidDel="00000000" w:rsidR="00000000" w:rsidRPr="00000000">
        <w:rPr>
          <w:rtl w:val="0"/>
        </w:rPr>
        <w:t xml:space="preserve">La prestación territorial de los servicios de saneamiento y agua potable (bajo órbita de AYSAM y prestadoras locales), distribución eléctrica (concesionada bajo regulación del EPRE) y las condiciones comerciales de continuidad y trato digno a los consumidores mendocinos en bocas de expendio de gas por red caen plenamente bajo las facultades legislativas de esta Honorable Legislatura.</w:t>
      </w:r>
    </w:p>
    <w:p w:rsidR="00000000" w:rsidDel="00000000" w:rsidP="00000000" w:rsidRDefault="00000000" w:rsidRPr="00000000" w14:paraId="00000011">
      <w:pPr>
        <w:pStyle w:val="Heading2"/>
        <w:jc w:val="both"/>
        <w:rPr/>
      </w:pPr>
      <w:bookmarkStart w:colFirst="0" w:colLast="0" w:name="_6z556gvj26t6" w:id="5"/>
      <w:bookmarkEnd w:id="5"/>
      <w:r w:rsidDel="00000000" w:rsidR="00000000" w:rsidRPr="00000000">
        <w:rPr>
          <w:rtl w:val="0"/>
        </w:rPr>
        <w:t xml:space="preserve">3. Antecedente Provincial: La Ley N.º 5.860 de Río Negro</w:t>
      </w:r>
    </w:p>
    <w:p w:rsidR="00000000" w:rsidDel="00000000" w:rsidP="00000000" w:rsidRDefault="00000000" w:rsidRPr="00000000" w14:paraId="00000012">
      <w:pPr>
        <w:jc w:val="both"/>
        <w:rPr/>
      </w:pPr>
      <w:r w:rsidDel="00000000" w:rsidR="00000000" w:rsidRPr="00000000">
        <w:rPr>
          <w:rtl w:val="0"/>
        </w:rPr>
        <w:t xml:space="preserve">Constituye un antecedente directo de esta iniciativa la sanción de la Ley N.º 5.860 de la Provincia de Río Negro (promulgada en junio de 2026), mediante la cual se estableció la suspensión temporal de cortes de gas natural, energía eléctrica y agua hasta el 31 de diciembre de 2027 a usuarios en situación de vulnerabilidad social, jubilados bajo la línea de pobreza del INDEC y hogares con personas con discapacidad a cargo. El dispositivo rionegrino demostró la viabilidad técnica y operativa de utilizar el mecanismo de Declaración Jurada digital o presencial ante la prestadora y la posterior intervención de la Dirección de Defensa del Consumidor para acordar planes de pago accesibles y desahogar financieramente a las familias sin condonar el capital adeudado.</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14">
      <w:pPr>
        <w:jc w:val="both"/>
        <w:rPr/>
      </w:pPr>
      <w:r w:rsidDel="00000000" w:rsidR="00000000" w:rsidRPr="00000000">
        <w:rPr>
          <w:rtl w:val="0"/>
        </w:rPr>
        <w:t xml:space="preserve">Por los motivos expuestos, solicitamos al Honorable Senado el tratamiento y posterior sanción del presente proyecto de ley.</w:t>
      </w:r>
    </w:p>
    <w:p w:rsidR="00000000" w:rsidDel="00000000" w:rsidP="00000000" w:rsidRDefault="00000000" w:rsidRPr="00000000" w14:paraId="00000015">
      <w:pPr>
        <w:pStyle w:val="Title"/>
        <w:jc w:val="both"/>
        <w:rPr>
          <w:sz w:val="32"/>
          <w:szCs w:val="32"/>
        </w:rPr>
      </w:pPr>
      <w:bookmarkStart w:colFirst="0" w:colLast="0" w:name="_xo0t96bn6swp" w:id="6"/>
      <w:bookmarkEnd w:id="6"/>
      <w:r w:rsidDel="00000000" w:rsidR="00000000" w:rsidRPr="00000000">
        <w:rPr>
          <w:sz w:val="32"/>
          <w:szCs w:val="32"/>
          <w:rtl w:val="0"/>
        </w:rPr>
        <w:t xml:space="preserve">LEY DE SUSPENSIÓN TEMPORAL DE CORTES DE SERVICIOS PÚBLICOS BÁSICOS DOMICILIARIOS A USUARIOS EN SITUACIÓN DE VULNERABILIDAD SOCIAL Y JUBILADOS EN LA PROVINCIA DE MENDOZA</w:t>
      </w:r>
    </w:p>
    <w:p w:rsidR="00000000" w:rsidDel="00000000" w:rsidP="00000000" w:rsidRDefault="00000000" w:rsidRPr="00000000" w14:paraId="00000016">
      <w:pPr>
        <w:jc w:val="both"/>
        <w:rPr/>
      </w:pPr>
      <w:r w:rsidDel="00000000" w:rsidR="00000000" w:rsidRPr="00000000">
        <w:rPr>
          <w:rtl w:val="0"/>
        </w:rPr>
        <w:t xml:space="preserve">EL SENADO Y LA H. CÁMARA DE DIPUTADOS DE LA PROVINCIA DE MENDOZA, SANCIONAN CON FUERZA DE LEY:</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18">
      <w:pPr>
        <w:jc w:val="both"/>
        <w:rPr/>
      </w:pPr>
      <w:r w:rsidDel="00000000" w:rsidR="00000000" w:rsidRPr="00000000">
        <w:rPr>
          <w:b w:val="1"/>
          <w:bCs w:val="1"/>
          <w:rtl w:val="0"/>
        </w:rPr>
        <w:t xml:space="preserve">Artículo 1º.- Suspensión de corte o interrupción de servicios públicos domiciliarios.</w:t>
      </w:r>
      <w:r w:rsidDel="00000000" w:rsidR="00000000" w:rsidRPr="00000000">
        <w:rPr>
          <w:rtl w:val="0"/>
        </w:rPr>
        <w:t xml:space="preserve"> Suspéndense hasta el 31 de diciembre de 2027 los cortes o la interrupción del suministro domiciliario de los servicios públicos básicos de gas natural por red, energía eléctrica y agua potable y saneamiento, por falta de pago en todo el territorio de la Provincia de Mendoza.</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1A">
      <w:pPr>
        <w:jc w:val="both"/>
        <w:rPr/>
      </w:pPr>
      <w:r w:rsidDel="00000000" w:rsidR="00000000" w:rsidRPr="00000000">
        <w:rPr>
          <w:b w:val="1"/>
          <w:bCs w:val="1"/>
          <w:rtl w:val="0"/>
        </w:rPr>
        <w:t xml:space="preserve">Artículo 2°.- Usuarios comprendidos.</w:t>
      </w:r>
      <w:r w:rsidDel="00000000" w:rsidR="00000000" w:rsidRPr="00000000">
        <w:rPr>
          <w:rtl w:val="0"/>
        </w:rPr>
        <w:t xml:space="preserve"> Quedan comprendidas en la presente ley las personas humanas usuarias de los servicios públicos enunciados en el artículo 1º, que se encuentren al menos en alguno de los siguientes extremos:</w:t>
        <w:br w:type="textWrapping"/>
        <w:t xml:space="preserve">a) Usuarios en situación de vulnerabilidad social por razones económicas, que demuestren fehacientemente la incapacidad material de pago de los servicios.</w:t>
        <w:br w:type="textWrapping"/>
        <w:t xml:space="preserve">b) Jubilados, pensionados y grupos familiares cuyos ingresos totales se ubiquen por debajo de la canasta básica total familiar, calculada y publicada mensualmente por el Instituto Nacional de Estadística y Censos (INDEC).</w:t>
        <w:br w:type="textWrapping"/>
        <w:t xml:space="preserve">c) Jubilados, pensionados y grupos familiares que tengan a cargo a personas con discapacidad.</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1C">
      <w:pPr>
        <w:jc w:val="both"/>
        <w:rPr/>
      </w:pPr>
      <w:r w:rsidDel="00000000" w:rsidR="00000000" w:rsidRPr="00000000">
        <w:rPr>
          <w:b w:val="1"/>
          <w:bCs w:val="1"/>
          <w:rtl w:val="0"/>
        </w:rPr>
        <w:t xml:space="preserve">Artículo 3°.- Vivienda Única Familiar.</w:t>
      </w:r>
      <w:r w:rsidDel="00000000" w:rsidR="00000000" w:rsidRPr="00000000">
        <w:rPr>
          <w:rtl w:val="0"/>
        </w:rPr>
        <w:t xml:space="preserve"> Los efectos de la presente ley son aplicables a usuarios de vivienda única familiar, con independencia de la titularidad registral del servicio, sea que la ocupación se ejerza a título de propiedad, comodato, locación u otra modalidad de ocupación efectiva fehacientemente acreditada.</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1E">
      <w:pPr>
        <w:jc w:val="both"/>
        <w:rPr/>
      </w:pPr>
      <w:r w:rsidDel="00000000" w:rsidR="00000000" w:rsidRPr="00000000">
        <w:rPr>
          <w:b w:val="1"/>
          <w:bCs w:val="1"/>
          <w:rtl w:val="0"/>
        </w:rPr>
        <w:t xml:space="preserve">Artículo 4º.– Acceso al beneficio.</w:t>
      </w:r>
      <w:r w:rsidDel="00000000" w:rsidR="00000000" w:rsidRPr="00000000">
        <w:rPr>
          <w:rtl w:val="0"/>
        </w:rPr>
        <w:t xml:space="preserve"> Las empresas prestadoras de los servicios públicos otorgan el beneficio al usuario mediante declaración jurada. La empresa prestataria del servicio arbitra los medios necesarios para garantizar la facilidad y accesibilidad al trámite en sus dependencias de atención al público, mediante el formulario respectivo suscripto por el usuario de manera presencial o digital, a opción de este.</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20">
      <w:pPr>
        <w:jc w:val="both"/>
        <w:rPr/>
      </w:pPr>
      <w:r w:rsidDel="00000000" w:rsidR="00000000" w:rsidRPr="00000000">
        <w:rPr>
          <w:b w:val="1"/>
          <w:bCs w:val="1"/>
          <w:rtl w:val="0"/>
        </w:rPr>
        <w:t xml:space="preserve">Artículo 5°.- Remisión y empadronamiento.</w:t>
      </w:r>
      <w:r w:rsidDel="00000000" w:rsidR="00000000" w:rsidRPr="00000000">
        <w:rPr>
          <w:rtl w:val="0"/>
        </w:rPr>
        <w:t xml:space="preserve"> Cumplimentada la declaración jurada, las empresas prestadoras de los servicios la deben remitir en un plazo no mayor a cinco (5) días hábiles a la Dirección Provincial de Defensa del Consumidor para el empadronamiento del usuario, el que se confecciona en su calidad de autoridad de aplicación mediante mecanismos de entrecruzamiento de datos oficiales.</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22">
      <w:pPr>
        <w:jc w:val="both"/>
        <w:rPr/>
      </w:pPr>
      <w:r w:rsidDel="00000000" w:rsidR="00000000" w:rsidRPr="00000000">
        <w:rPr>
          <w:b w:val="1"/>
          <w:bCs w:val="1"/>
          <w:rtl w:val="0"/>
        </w:rPr>
        <w:t xml:space="preserve">Artículo 6°.- Acreditación de la vulnerabilidad social</w:t>
      </w:r>
      <w:r w:rsidDel="00000000" w:rsidR="00000000" w:rsidRPr="00000000">
        <w:rPr>
          <w:rtl w:val="0"/>
        </w:rPr>
        <w:t xml:space="preserve">. A los efectos de la presente ley, la situación de vulnerabilidad social se acredita mediante certificación o informe expedido por organismo público comunal, municipal, provincial o nacional competente.</w:t>
        <w:br w:type="textWrapping"/>
        <w:t xml:space="preserve">Asimismo, según el caso, se admite como documental respaldatoria de los extremos fijados en la presente ley, de manera enunciativa:</w:t>
        <w:br w:type="textWrapping"/>
        <w:t xml:space="preserve">a) Recibo de haberes previsionales o recibo de haberes laborales.</w:t>
        <w:br w:type="textWrapping"/>
        <w:t xml:space="preserve">b) Certificado Único de Discapacidad (CUD) vigente.</w:t>
        <w:br w:type="textWrapping"/>
        <w:t xml:space="preserve">c) Certificado de desempleo expedido por la autoridad administrativa laboral provincial o nacional.</w:t>
        <w:br w:type="textWrapping"/>
        <w:t xml:space="preserve">d) Evaluación socioeconómica realizada por un organismo estatal nacional, provincial o municipal.</w:t>
        <w:br w:type="textWrapping"/>
        <w:t xml:space="preserve">e) Certificación negativa emitida por la Administración Nacional de la Seguridad Social (ANSES).</w:t>
        <w:br w:type="textWrapping"/>
        <w:t xml:space="preserve">f) Cualquier otro medio probatorio idóneo que acredite los extremos requeridos para ser beneficiario de la presente ley.</w:t>
        <w:br w:type="textWrapping"/>
        <w:t xml:space="preserve">La falta temporal de las certificaciones detalladas o de otro medio de prueba no es impedimento para la obtención provisional del beneficio, debiendo la empresa prestataria requerir por vía electrónica el certificado de empadronamiento provisional a la Autoridad de Aplicación, el cual constituye prueba suficiente para conceder el beneficio tutelar.</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24">
      <w:pPr>
        <w:jc w:val="both"/>
        <w:rPr/>
      </w:pPr>
      <w:r w:rsidDel="00000000" w:rsidR="00000000" w:rsidRPr="00000000">
        <w:rPr>
          <w:b w:val="1"/>
          <w:bCs w:val="1"/>
          <w:rtl w:val="0"/>
        </w:rPr>
        <w:t xml:space="preserve">Artículo 7º.- Reconocimiento de Deuda y Planes de Pago</w:t>
      </w:r>
      <w:r w:rsidDel="00000000" w:rsidR="00000000" w:rsidRPr="00000000">
        <w:rPr>
          <w:rtl w:val="0"/>
        </w:rPr>
        <w:t xml:space="preserve">. La solicitud formulada por el usuario implica el reconocimiento de la deuda devengada por consumo habitual y normal del respectivo período. Las empresas prestatarias quedan obligadas a acordar planes de pago accesibles con el objeto de regularizar las deudas contraídas.</w:t>
        <w:br w:type="textWrapping"/>
        <w:t xml:space="preserve">La cuota mensual del plan de pago no puede superar en ningún caso el veinte por ciento (20%) del monto total de la factura de mayor consumo del período inmediato anterior.</w:t>
        <w:br w:type="textWrapping"/>
        <w:t xml:space="preserve">Cuando la facturación del servicio sea bimestral, las empresas prestatarias deben intercalar el cobro de las cuotas del plan de pago de manera tal que, durante el mes en que opere el vencimiento del suministro corriente, el usuario no abone cuota de refinanciación.</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26">
      <w:pPr>
        <w:jc w:val="both"/>
        <w:rPr/>
      </w:pPr>
      <w:r w:rsidDel="00000000" w:rsidR="00000000" w:rsidRPr="00000000">
        <w:rPr>
          <w:b w:val="1"/>
          <w:bCs w:val="1"/>
          <w:rtl w:val="0"/>
        </w:rPr>
        <w:t xml:space="preserve">Artículo 8°.- Restablecimiento del servicio interrumpido.</w:t>
      </w:r>
      <w:r w:rsidDel="00000000" w:rsidR="00000000" w:rsidRPr="00000000">
        <w:rPr>
          <w:rtl w:val="0"/>
        </w:rPr>
        <w:t xml:space="preserve"> En los casos en que el servicio público se encuentre suspendido o interrumpido con anterioridad a la vigencia de la presente ley, las empresas prestadoras quedan obligadas a restablecer el suministro en forma inmediata dentro del plazo perentorio de cuarenta y ocho (48) horas contadas a partir de la suscripción del plan de pagos.</w:t>
        <w:br w:type="textWrapping"/>
        <w:t xml:space="preserve">El restablecimiento del servicio se efectúa sin cargo tarifario alguno en concepto de reconexión, rehabilitación, supervisión técnica o cargos administrativos análogos. Las tareas de inspección de las instalaciones domiciliarias corren por cuenta y cargo exclusivo de la empresa prestataria.</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28">
      <w:pPr>
        <w:jc w:val="both"/>
        <w:rPr/>
      </w:pPr>
      <w:r w:rsidDel="00000000" w:rsidR="00000000" w:rsidRPr="00000000">
        <w:rPr>
          <w:b w:val="1"/>
          <w:bCs w:val="1"/>
          <w:rtl w:val="0"/>
        </w:rPr>
        <w:t xml:space="preserve">Artículo 9º.- Autoridad de Aplicación y Régimen Sancionatorio</w:t>
      </w:r>
      <w:r w:rsidDel="00000000" w:rsidR="00000000" w:rsidRPr="00000000">
        <w:rPr>
          <w:rtl w:val="0"/>
        </w:rPr>
        <w:t xml:space="preserve">. Es Autoridad de Aplicación de la presente ley la Dirección Provincial de Defensa del Consumidor, quedando facultada para dirimir y resolver las controversias y denuncias originadas por la denegación injustificada del beneficio por parte de las prestadoras.</w:t>
        <w:br w:type="textWrapping"/>
        <w:t xml:space="preserve">Ante el incumplimiento de las obligaciones previstas en la presente ley o la dilación injustificada en otorgar el beneficio o reconectar el servicio, la Autoridad de Aplicación impone a la empresa prestataria una sanción conminatoria ,de acuerdo a lo establecido por la reglamentación,  hasta el efectivo cese del incumplimiento, sin perjuicio de las sanciones establecidas en la Ley Provincial N.º 5.547.</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2A">
      <w:pPr>
        <w:jc w:val="both"/>
        <w:rPr/>
      </w:pPr>
      <w:r w:rsidDel="00000000" w:rsidR="00000000" w:rsidRPr="00000000">
        <w:rPr>
          <w:b w:val="1"/>
          <w:bCs w:val="1"/>
          <w:rtl w:val="0"/>
        </w:rPr>
        <w:t xml:space="preserve">Artículo 10- Convenios de reciprocidad y cooperación interjurisdiccional.</w:t>
      </w:r>
      <w:r w:rsidDel="00000000" w:rsidR="00000000" w:rsidRPr="00000000">
        <w:rPr>
          <w:rtl w:val="0"/>
        </w:rPr>
        <w:t xml:space="preserve"> Facúltase a la Autoridad de Aplicación a celebrar convenios de colaboración, reciprocidad y fiscalización conjunta con los entes reguladores de servicios públicos de la Provincia —Ente Provincial Regulador Eléctrico (EPRE) y  la Dirección de Regulación y Control de Agua y Saneamiento (DIRCAS-DGI) —, así como con el Ente Nacional Regulador del Gas (ENARGAS), tendientes al control operativo, cruce de información y efectiva tutela de los derechos de los usuarios en el territorio provincial.</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2C">
      <w:pPr>
        <w:jc w:val="both"/>
        <w:rPr/>
      </w:pPr>
      <w:r w:rsidDel="00000000" w:rsidR="00000000" w:rsidRPr="00000000">
        <w:rPr>
          <w:b w:val="1"/>
          <w:bCs w:val="1"/>
          <w:rtl w:val="0"/>
        </w:rPr>
        <w:t xml:space="preserve">Artículo 11.– Publicidad y difusión.</w:t>
      </w:r>
      <w:r w:rsidDel="00000000" w:rsidR="00000000" w:rsidRPr="00000000">
        <w:rPr>
          <w:rtl w:val="0"/>
        </w:rPr>
        <w:t xml:space="preserve"> El Poder Ejecutivo Provincial difunde a través de los medios masivos de comunicación, en lenguaje claro, sencillo y accesible, el alcance y los derechos consagrados en la presente ley.</w:t>
        <w:br w:type="textWrapping"/>
        <w:t xml:space="preserve">Asimismo, la Dirección Provincial de Defensa del Consumidor articula con los dieciocho (18) municipios de la Provincia acciones territoriales de asesoramiento y recepción de trámites.</w:t>
        <w:br w:type="textWrapping"/>
        <w:t xml:space="preserve">Las empresas prestatarias quedan obligadas a publicar en sus plataformas digitales oficiales y en cartelería destacada en sus oficinas de atención al público un extracto claro y visible de la presente normativa.</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2E">
      <w:pPr>
        <w:jc w:val="both"/>
        <w:rPr/>
      </w:pPr>
      <w:r w:rsidDel="00000000" w:rsidR="00000000" w:rsidRPr="00000000">
        <w:rPr>
          <w:b w:val="1"/>
          <w:bCs w:val="1"/>
          <w:rtl w:val="0"/>
        </w:rPr>
        <w:t xml:space="preserve">Artículo 12.-</w:t>
      </w:r>
      <w:r w:rsidDel="00000000" w:rsidR="00000000" w:rsidRPr="00000000">
        <w:rPr>
          <w:rtl w:val="0"/>
        </w:rPr>
        <w:t xml:space="preserve"> Comuníquese al Poder Ejecutivo.</w:t>
      </w:r>
    </w:p>
    <w:p w:rsidR="00000000" w:rsidDel="00000000" w:rsidP="00000000" w:rsidRDefault="00000000" w:rsidRPr="00000000" w14:paraId="0000002F">
      <w:pPr>
        <w:jc w:val="both"/>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pectral">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Inter" w:cs="Inter" w:eastAsia="Inter" w:hAnsi="Inter"/>
        <w:color w:val="333333"/>
        <w:sz w:val="24"/>
        <w:szCs w:val="24"/>
        <w:lang w:val="es"/>
      </w:rPr>
    </w:rPrDefault>
    <w:pPrDefault>
      <w:pPr>
        <w:spacing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288" w:lineRule="auto"/>
    </w:pPr>
    <w:rPr>
      <w:rFonts w:ascii="Spectral" w:cs="Spectral" w:eastAsia="Spectral" w:hAnsi="Spectral"/>
      <w:b w:val="1"/>
      <w:bCs w:val="1"/>
      <w:i w:val="0"/>
      <w:iCs w:val="0"/>
      <w:color w:val="1a237e"/>
      <w:sz w:val="40"/>
      <w:szCs w:val="40"/>
    </w:rPr>
  </w:style>
  <w:style w:type="paragraph" w:styleId="Heading2">
    <w:name w:val="heading 2"/>
    <w:basedOn w:val="Normal"/>
    <w:next w:val="Normal"/>
    <w:pPr>
      <w:keepNext w:val="1"/>
      <w:keepLines w:val="1"/>
      <w:pageBreakBefore w:val="0"/>
      <w:spacing w:after="80" w:before="360" w:line="288" w:lineRule="auto"/>
    </w:pPr>
    <w:rPr>
      <w:rFonts w:ascii="Spectral" w:cs="Spectral" w:eastAsia="Spectral" w:hAnsi="Spectral"/>
      <w:b w:val="1"/>
      <w:bCs w:val="1"/>
      <w:i w:val="0"/>
      <w:iCs w:val="0"/>
      <w:color w:val="283593"/>
      <w:sz w:val="34"/>
      <w:szCs w:val="34"/>
    </w:rPr>
  </w:style>
  <w:style w:type="paragraph" w:styleId="Heading3">
    <w:name w:val="heading 3"/>
    <w:basedOn w:val="Normal"/>
    <w:next w:val="Normal"/>
    <w:pPr>
      <w:keepNext w:val="1"/>
      <w:keepLines w:val="1"/>
      <w:pageBreakBefore w:val="0"/>
      <w:spacing w:after="80" w:before="280" w:line="288" w:lineRule="auto"/>
    </w:pPr>
    <w:rPr>
      <w:rFonts w:ascii="Spectral" w:cs="Spectral" w:eastAsia="Spectral" w:hAnsi="Spectral"/>
      <w:b w:val="1"/>
      <w:bCs w:val="1"/>
      <w:i w:val="0"/>
      <w:iCs w:val="0"/>
      <w:color w:val="3f51b5"/>
      <w:sz w:val="30"/>
      <w:szCs w:val="30"/>
    </w:rPr>
  </w:style>
  <w:style w:type="paragraph" w:styleId="Heading4">
    <w:name w:val="heading 4"/>
    <w:basedOn w:val="Normal"/>
    <w:next w:val="Normal"/>
    <w:pPr>
      <w:keepNext w:val="1"/>
      <w:keepLines w:val="1"/>
      <w:pageBreakBefore w:val="0"/>
      <w:spacing w:after="40" w:before="240" w:line="288" w:lineRule="auto"/>
    </w:pPr>
    <w:rPr>
      <w:rFonts w:ascii="Inter" w:cs="Inter" w:eastAsia="Inter" w:hAnsi="Inter"/>
      <w:b w:val="1"/>
      <w:bCs w:val="1"/>
      <w:i w:val="0"/>
      <w:iCs w:val="0"/>
      <w:color w:val="333333"/>
      <w:sz w:val="26"/>
      <w:szCs w:val="26"/>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240" w:lineRule="auto"/>
    </w:pPr>
    <w:rPr>
      <w:rFonts w:ascii="Spectral" w:cs="Spectral" w:eastAsia="Spectral" w:hAnsi="Spectral"/>
      <w:b w:val="1"/>
      <w:bCs w:val="1"/>
      <w:i w:val="0"/>
      <w:iCs w:val="0"/>
      <w:color w:val="1a237e"/>
      <w:sz w:val="52"/>
      <w:szCs w:val="52"/>
    </w:rPr>
  </w:style>
  <w:style w:type="paragraph" w:styleId="Subtitle">
    <w:name w:val="Subtitle"/>
    <w:basedOn w:val="Normal"/>
    <w:next w:val="Normal"/>
    <w:pPr>
      <w:keepNext w:val="1"/>
      <w:keepLines w:val="1"/>
      <w:pageBreakBefore w:val="0"/>
      <w:spacing w:after="80" w:before="360" w:line="288" w:lineRule="auto"/>
    </w:pPr>
    <w:rPr>
      <w:rFonts w:ascii="Inter" w:cs="Inter" w:eastAsia="Inter" w:hAnsi="Inter"/>
      <w:b w:val="1"/>
      <w:bCs w:val="1"/>
      <w:i w:val="0"/>
      <w:iCs w:val="0"/>
      <w:color w:val="455a64"/>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 Id="rId5" Type="http://schemas.openxmlformats.org/officeDocument/2006/relationships/font" Target="fonts/Spectral-regular.ttf"/><Relationship Id="rId6" Type="http://schemas.openxmlformats.org/officeDocument/2006/relationships/font" Target="fonts/Spectral-bold.ttf"/><Relationship Id="rId7" Type="http://schemas.openxmlformats.org/officeDocument/2006/relationships/font" Target="fonts/Spectral-italic.ttf"/><Relationship Id="rId8" Type="http://schemas.openxmlformats.org/officeDocument/2006/relationships/font" Target="fonts/Spectral-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